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D52" w:rsidRPr="006F7D52" w:rsidRDefault="006F7D52" w:rsidP="00DD2B1E">
      <w:pPr>
        <w:spacing w:after="0" w:line="480" w:lineRule="auto"/>
        <w:rPr>
          <w:rFonts w:ascii="Times New Roman" w:hAnsi="Times New Roman" w:cs="Times New Roman"/>
          <w:sz w:val="24"/>
          <w:szCs w:val="24"/>
        </w:rPr>
      </w:pPr>
    </w:p>
    <w:p w:rsidR="006F7D52" w:rsidRPr="006F7D52" w:rsidRDefault="006F7D52" w:rsidP="00DD2B1E">
      <w:pPr>
        <w:spacing w:after="0" w:line="480" w:lineRule="auto"/>
        <w:rPr>
          <w:rFonts w:ascii="Times New Roman" w:hAnsi="Times New Roman" w:cs="Times New Roman"/>
          <w:sz w:val="24"/>
          <w:szCs w:val="24"/>
        </w:rPr>
      </w:pPr>
    </w:p>
    <w:p w:rsidR="006F7D52" w:rsidRPr="006F7D52" w:rsidRDefault="006F7D52" w:rsidP="00DD2B1E">
      <w:pPr>
        <w:spacing w:after="0" w:line="480" w:lineRule="auto"/>
        <w:rPr>
          <w:rFonts w:ascii="Times New Roman" w:hAnsi="Times New Roman" w:cs="Times New Roman"/>
          <w:sz w:val="24"/>
          <w:szCs w:val="24"/>
        </w:rPr>
      </w:pPr>
    </w:p>
    <w:p w:rsidR="006F7D52" w:rsidRPr="006F7D52" w:rsidRDefault="006F7D52" w:rsidP="00DD2B1E">
      <w:pPr>
        <w:spacing w:after="0" w:line="480" w:lineRule="auto"/>
        <w:rPr>
          <w:rFonts w:ascii="Times New Roman" w:hAnsi="Times New Roman" w:cs="Times New Roman"/>
          <w:sz w:val="24"/>
          <w:szCs w:val="24"/>
        </w:rPr>
      </w:pPr>
    </w:p>
    <w:p w:rsidR="006F7D52" w:rsidRPr="006F7D52" w:rsidRDefault="006F7D52" w:rsidP="00DD2B1E">
      <w:pPr>
        <w:spacing w:after="0" w:line="480" w:lineRule="auto"/>
        <w:rPr>
          <w:rFonts w:ascii="Times New Roman" w:hAnsi="Times New Roman" w:cs="Times New Roman"/>
          <w:sz w:val="24"/>
          <w:szCs w:val="24"/>
        </w:rPr>
      </w:pPr>
    </w:p>
    <w:p w:rsidR="006F7D52" w:rsidRPr="006F7D52" w:rsidRDefault="006F7D52" w:rsidP="00DD2B1E">
      <w:pPr>
        <w:spacing w:after="0" w:line="480" w:lineRule="auto"/>
        <w:rPr>
          <w:rFonts w:ascii="Times New Roman" w:hAnsi="Times New Roman" w:cs="Times New Roman"/>
          <w:sz w:val="24"/>
          <w:szCs w:val="24"/>
        </w:rPr>
      </w:pPr>
    </w:p>
    <w:p w:rsidR="006C3334" w:rsidRDefault="006C3334" w:rsidP="00DD2B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Foreign Markets Entry</w:t>
      </w:r>
    </w:p>
    <w:p w:rsidR="006F7D52" w:rsidRPr="006F7D52" w:rsidRDefault="006F7D52" w:rsidP="00DD2B1E">
      <w:pPr>
        <w:spacing w:after="0" w:line="480" w:lineRule="auto"/>
        <w:jc w:val="center"/>
        <w:rPr>
          <w:rFonts w:ascii="Times New Roman" w:hAnsi="Times New Roman" w:cs="Times New Roman"/>
          <w:sz w:val="24"/>
          <w:szCs w:val="24"/>
        </w:rPr>
      </w:pPr>
      <w:r w:rsidRPr="006F7D52">
        <w:rPr>
          <w:rFonts w:ascii="Times New Roman" w:hAnsi="Times New Roman" w:cs="Times New Roman"/>
          <w:sz w:val="24"/>
          <w:szCs w:val="24"/>
        </w:rPr>
        <w:t>Student Name</w:t>
      </w:r>
    </w:p>
    <w:p w:rsidR="006F7D52" w:rsidRPr="006F7D52" w:rsidRDefault="006F7D52" w:rsidP="00DD2B1E">
      <w:pPr>
        <w:spacing w:after="0" w:line="480" w:lineRule="auto"/>
        <w:jc w:val="center"/>
        <w:rPr>
          <w:rFonts w:ascii="Times New Roman" w:hAnsi="Times New Roman" w:cs="Times New Roman"/>
          <w:sz w:val="24"/>
          <w:szCs w:val="24"/>
        </w:rPr>
      </w:pPr>
      <w:r w:rsidRPr="006F7D52">
        <w:rPr>
          <w:rFonts w:ascii="Times New Roman" w:hAnsi="Times New Roman" w:cs="Times New Roman"/>
          <w:sz w:val="24"/>
          <w:szCs w:val="24"/>
        </w:rPr>
        <w:t>Institution Affiliation</w:t>
      </w:r>
    </w:p>
    <w:p w:rsidR="006F7D52" w:rsidRPr="006F7D52" w:rsidRDefault="006F7D52" w:rsidP="00DD2B1E">
      <w:pPr>
        <w:spacing w:after="0" w:line="480" w:lineRule="auto"/>
        <w:rPr>
          <w:rFonts w:ascii="Times New Roman" w:hAnsi="Times New Roman" w:cs="Times New Roman"/>
          <w:sz w:val="24"/>
          <w:szCs w:val="24"/>
        </w:rPr>
      </w:pPr>
    </w:p>
    <w:p w:rsidR="00DD2B1E" w:rsidRDefault="00DD2B1E">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592DD8" w:rsidRDefault="006C3334" w:rsidP="00DD2B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Foreign Markets Entry</w:t>
      </w:r>
    </w:p>
    <w:p w:rsidR="008F4324" w:rsidRPr="008F4324" w:rsidRDefault="004B480C"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Organizations</w:t>
      </w:r>
      <w:r w:rsidR="008F4324" w:rsidRPr="008F4324">
        <w:rPr>
          <w:rFonts w:ascii="Times New Roman" w:hAnsi="Times New Roman" w:cs="Times New Roman"/>
          <w:sz w:val="24"/>
          <w:szCs w:val="24"/>
        </w:rPr>
        <w:t xml:space="preserve"> decide to explore overseas markets based on open opportunities available overseas. The options differ depending on risks presented, cost of operations, and government control and access levels into the country in question. Well established companies research on viable areas to expand into globally and management considers the benefits and limitations of investing in the foreign country.  Studying the foreign nation to understand the various challenge and potations remains paramount for a firm entering a new market especially overseas. Connexion's management noticed the ready market in the United States but needed to work on handling the various issues presented in the market. </w:t>
      </w:r>
      <w:r w:rsidR="00597D7C">
        <w:rPr>
          <w:rFonts w:ascii="Times New Roman" w:hAnsi="Times New Roman" w:cs="Times New Roman"/>
          <w:sz w:val="24"/>
          <w:szCs w:val="24"/>
        </w:rPr>
        <w:t xml:space="preserve">The paper analyzes the challenges and opportunities the US presents to Connexia and methods of enabling entry into the foreign market. </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The primary reasons for Connexia’s success include the specialization of the IT Company in developing health applications. The differentiation offered a great opportunity to the company by cutting off local and international competitors. The RTA product provides value in health organizations that benefit the patients, health providers and insurance companies involved. The sales and marketing team also applies a relationship-driven marketing approach in the Argentinean market; hence easy access to the market and entry of the boundaries in place</w:t>
      </w:r>
      <w:r w:rsidR="004B480C">
        <w:rPr>
          <w:rFonts w:ascii="Times New Roman" w:hAnsi="Times New Roman" w:cs="Times New Roman"/>
          <w:sz w:val="24"/>
          <w:szCs w:val="24"/>
        </w:rPr>
        <w:t xml:space="preserve"> (</w:t>
      </w:r>
      <w:r w:rsidR="004B480C" w:rsidRPr="00B30ABB">
        <w:rPr>
          <w:rFonts w:ascii="Times New Roman" w:hAnsi="Times New Roman" w:cs="Times New Roman"/>
          <w:sz w:val="24"/>
          <w:szCs w:val="24"/>
        </w:rPr>
        <w:t>Barrett</w:t>
      </w:r>
      <w:r w:rsidR="004B480C">
        <w:rPr>
          <w:rFonts w:ascii="Times New Roman" w:hAnsi="Times New Roman" w:cs="Times New Roman"/>
          <w:sz w:val="24"/>
          <w:szCs w:val="24"/>
        </w:rPr>
        <w:t xml:space="preserve">, </w:t>
      </w:r>
      <w:r w:rsidR="004B480C" w:rsidRPr="00B30ABB">
        <w:rPr>
          <w:rFonts w:ascii="Times New Roman" w:hAnsi="Times New Roman" w:cs="Times New Roman"/>
          <w:sz w:val="24"/>
          <w:szCs w:val="24"/>
        </w:rPr>
        <w:t>Mohanrangan, Tanaka,</w:t>
      </w:r>
      <w:r w:rsidR="004B480C">
        <w:rPr>
          <w:rFonts w:ascii="Times New Roman" w:hAnsi="Times New Roman" w:cs="Times New Roman"/>
          <w:sz w:val="24"/>
          <w:szCs w:val="24"/>
        </w:rPr>
        <w:t xml:space="preserve"> &amp; </w:t>
      </w:r>
      <w:r w:rsidR="004B480C" w:rsidRPr="00B30ABB">
        <w:rPr>
          <w:rFonts w:ascii="Times New Roman" w:hAnsi="Times New Roman" w:cs="Times New Roman"/>
          <w:sz w:val="24"/>
          <w:szCs w:val="24"/>
        </w:rPr>
        <w:t xml:space="preserve"> Zhao</w:t>
      </w:r>
      <w:r w:rsidR="004B480C">
        <w:rPr>
          <w:rFonts w:ascii="Times New Roman" w:hAnsi="Times New Roman" w:cs="Times New Roman"/>
          <w:sz w:val="24"/>
          <w:szCs w:val="24"/>
        </w:rPr>
        <w:t>, 2010)</w:t>
      </w:r>
      <w:r w:rsidRPr="008F4324">
        <w:rPr>
          <w:rFonts w:ascii="Times New Roman" w:hAnsi="Times New Roman" w:cs="Times New Roman"/>
          <w:sz w:val="24"/>
          <w:szCs w:val="24"/>
        </w:rPr>
        <w:t xml:space="preserve">. The firm also focused on supplying services of the RTA to influential government payers consequently hiked sales in its home and foreign market. Connexia’s built a strong brand via awareness programs; hence its clients believe in the firm RTA space in the market. </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 xml:space="preserve">The US market differs from Connexia’s market in Argentina in several ways. The United States health insurance market remained in a flux state with the continual downfall. The </w:t>
      </w:r>
      <w:r w:rsidRPr="008F4324">
        <w:rPr>
          <w:rFonts w:ascii="Times New Roman" w:hAnsi="Times New Roman" w:cs="Times New Roman"/>
          <w:sz w:val="24"/>
          <w:szCs w:val="24"/>
        </w:rPr>
        <w:lastRenderedPageBreak/>
        <w:t xml:space="preserve">healthcare system practices remained paper-based and conventional </w:t>
      </w:r>
      <w:r>
        <w:rPr>
          <w:rFonts w:ascii="Times New Roman" w:hAnsi="Times New Roman" w:cs="Times New Roman"/>
          <w:sz w:val="24"/>
          <w:szCs w:val="24"/>
        </w:rPr>
        <w:t>(</w:t>
      </w:r>
      <w:r w:rsidRPr="00B30ABB">
        <w:rPr>
          <w:rFonts w:ascii="Times New Roman" w:hAnsi="Times New Roman" w:cs="Times New Roman"/>
          <w:sz w:val="24"/>
          <w:szCs w:val="24"/>
        </w:rPr>
        <w:t>Barrett</w:t>
      </w:r>
      <w:r>
        <w:rPr>
          <w:rFonts w:ascii="Times New Roman" w:hAnsi="Times New Roman" w:cs="Times New Roman"/>
          <w:sz w:val="24"/>
          <w:szCs w:val="24"/>
        </w:rPr>
        <w:t xml:space="preserve">, </w:t>
      </w:r>
      <w:r w:rsidRPr="00B30ABB">
        <w:rPr>
          <w:rFonts w:ascii="Times New Roman" w:hAnsi="Times New Roman" w:cs="Times New Roman"/>
          <w:sz w:val="24"/>
          <w:szCs w:val="24"/>
        </w:rPr>
        <w:t>Mohanrangan, Tanaka,</w:t>
      </w:r>
      <w:r>
        <w:rPr>
          <w:rFonts w:ascii="Times New Roman" w:hAnsi="Times New Roman" w:cs="Times New Roman"/>
          <w:sz w:val="24"/>
          <w:szCs w:val="24"/>
        </w:rPr>
        <w:t xml:space="preserve"> &amp; </w:t>
      </w:r>
      <w:r w:rsidRPr="00B30ABB">
        <w:rPr>
          <w:rFonts w:ascii="Times New Roman" w:hAnsi="Times New Roman" w:cs="Times New Roman"/>
          <w:sz w:val="24"/>
          <w:szCs w:val="24"/>
        </w:rPr>
        <w:t xml:space="preserve"> Zhao</w:t>
      </w:r>
      <w:r>
        <w:rPr>
          <w:rFonts w:ascii="Times New Roman" w:hAnsi="Times New Roman" w:cs="Times New Roman"/>
          <w:sz w:val="24"/>
          <w:szCs w:val="24"/>
        </w:rPr>
        <w:t>, 2010)</w:t>
      </w:r>
      <w:r w:rsidRPr="008F4324">
        <w:rPr>
          <w:rFonts w:ascii="Times New Roman" w:hAnsi="Times New Roman" w:cs="Times New Roman"/>
          <w:sz w:val="24"/>
          <w:szCs w:val="24"/>
        </w:rPr>
        <w:t>. The electronic systems available offered limited data entry without real-time information shar</w:t>
      </w:r>
      <w:r>
        <w:rPr>
          <w:rFonts w:ascii="Times New Roman" w:hAnsi="Times New Roman" w:cs="Times New Roman"/>
          <w:sz w:val="24"/>
          <w:szCs w:val="24"/>
        </w:rPr>
        <w:t>ing among the existing networks (</w:t>
      </w:r>
      <w:r w:rsidRPr="008F4324">
        <w:rPr>
          <w:rFonts w:ascii="Times New Roman" w:hAnsi="Times New Roman" w:cs="Times New Roman"/>
          <w:sz w:val="24"/>
          <w:szCs w:val="24"/>
        </w:rPr>
        <w:t>Nat</w:t>
      </w:r>
      <w:r>
        <w:rPr>
          <w:rFonts w:ascii="Times New Roman" w:hAnsi="Times New Roman" w:cs="Times New Roman"/>
          <w:sz w:val="24"/>
          <w:szCs w:val="24"/>
        </w:rPr>
        <w:t xml:space="preserve">ional Research Council (U.S.), </w:t>
      </w:r>
      <w:r w:rsidRPr="008F4324">
        <w:rPr>
          <w:rFonts w:ascii="Times New Roman" w:hAnsi="Times New Roman" w:cs="Times New Roman"/>
          <w:sz w:val="24"/>
          <w:szCs w:val="24"/>
        </w:rPr>
        <w:t xml:space="preserve">2011).  Patients still got identified via form registers that did not include the previous history of the patient’s records and hence no guarantee which service the patient used previously. Numerous bills got presented to develop IT solutions in the health care sector introducing a market uncertainty due to regulatory reforms, impending healthcare transformations and HITECH act. Although the changes focused on better healthcare services in the US, the sector lacked real-time information, complexities and variants in data formats hence imposing high costs on patients and health insurance providers. </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 xml:space="preserve">As opposed to Argentina’s ready market and brand awareness, the US presented a low awareness market and challenging legal boundaries for Connexia’s. The RTA also required high capital investments; hence the US individuals made aware termed the cost as immense due to the changes needed in the </w:t>
      </w:r>
      <w:r w:rsidR="004B480C" w:rsidRPr="008F4324">
        <w:rPr>
          <w:rFonts w:ascii="Times New Roman" w:hAnsi="Times New Roman" w:cs="Times New Roman"/>
          <w:sz w:val="24"/>
          <w:szCs w:val="24"/>
        </w:rPr>
        <w:t>organi</w:t>
      </w:r>
      <w:r w:rsidR="004B480C">
        <w:rPr>
          <w:rFonts w:ascii="Times New Roman" w:hAnsi="Times New Roman" w:cs="Times New Roman"/>
          <w:sz w:val="24"/>
          <w:szCs w:val="24"/>
        </w:rPr>
        <w:t>zations’</w:t>
      </w:r>
      <w:r>
        <w:rPr>
          <w:rFonts w:ascii="Times New Roman" w:hAnsi="Times New Roman" w:cs="Times New Roman"/>
          <w:sz w:val="24"/>
          <w:szCs w:val="24"/>
        </w:rPr>
        <w:t xml:space="preserve"> operational structures</w:t>
      </w:r>
      <w:r w:rsidRPr="008F4324">
        <w:rPr>
          <w:rFonts w:ascii="Times New Roman" w:hAnsi="Times New Roman" w:cs="Times New Roman"/>
          <w:sz w:val="24"/>
          <w:szCs w:val="24"/>
        </w:rPr>
        <w:t xml:space="preserve"> </w:t>
      </w:r>
      <w:r>
        <w:rPr>
          <w:rFonts w:ascii="Times New Roman" w:hAnsi="Times New Roman" w:cs="Times New Roman"/>
          <w:sz w:val="24"/>
          <w:szCs w:val="24"/>
        </w:rPr>
        <w:t>(</w:t>
      </w:r>
      <w:r w:rsidRPr="008F4324">
        <w:rPr>
          <w:rFonts w:ascii="Times New Roman" w:hAnsi="Times New Roman" w:cs="Times New Roman"/>
          <w:sz w:val="24"/>
          <w:szCs w:val="24"/>
        </w:rPr>
        <w:t>Nat</w:t>
      </w:r>
      <w:r>
        <w:rPr>
          <w:rFonts w:ascii="Times New Roman" w:hAnsi="Times New Roman" w:cs="Times New Roman"/>
          <w:sz w:val="24"/>
          <w:szCs w:val="24"/>
        </w:rPr>
        <w:t xml:space="preserve">ional Research Council (U.S.), </w:t>
      </w:r>
      <w:r w:rsidRPr="008F4324">
        <w:rPr>
          <w:rFonts w:ascii="Times New Roman" w:hAnsi="Times New Roman" w:cs="Times New Roman"/>
          <w:sz w:val="24"/>
          <w:szCs w:val="24"/>
        </w:rPr>
        <w:t xml:space="preserve">2011).  Unlike the Argentinean market, the US market offered a scattered market hence developing constant information on competitors present remained a challenge. Connexia’s requires investing heavily on market study and differentiation of the US healthcare competitors to make decisions on where to begin.  </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Shifting into global markets poses the challenge of external factors that affect the business operations of the company. Connexia’s faces several problems in the US market entry considerations that range from external to internal factors.</w:t>
      </w:r>
      <w:r>
        <w:rPr>
          <w:rFonts w:ascii="Times New Roman" w:hAnsi="Times New Roman" w:cs="Times New Roman"/>
          <w:sz w:val="24"/>
          <w:szCs w:val="24"/>
        </w:rPr>
        <w:t xml:space="preserve"> </w:t>
      </w:r>
      <w:r w:rsidRPr="008F4324">
        <w:rPr>
          <w:rFonts w:ascii="Times New Roman" w:hAnsi="Times New Roman" w:cs="Times New Roman"/>
          <w:sz w:val="24"/>
          <w:szCs w:val="24"/>
        </w:rPr>
        <w:t xml:space="preserve">National and international business policies remain dynamic in most cases. Governments make decisions and change them at any time. Globalization has got most countries focused on opening borders and trade barriers to </w:t>
      </w:r>
      <w:r w:rsidRPr="008F4324">
        <w:rPr>
          <w:rFonts w:ascii="Times New Roman" w:hAnsi="Times New Roman" w:cs="Times New Roman"/>
          <w:sz w:val="24"/>
          <w:szCs w:val="24"/>
        </w:rPr>
        <w:lastRenderedPageBreak/>
        <w:t>growing investme</w:t>
      </w:r>
      <w:r>
        <w:rPr>
          <w:rFonts w:ascii="Times New Roman" w:hAnsi="Times New Roman" w:cs="Times New Roman"/>
          <w:sz w:val="24"/>
          <w:szCs w:val="24"/>
        </w:rPr>
        <w:t>nts from other states worldwide (Kabene, 2010)</w:t>
      </w:r>
      <w:r w:rsidRPr="008F4324">
        <w:rPr>
          <w:rFonts w:ascii="Times New Roman" w:hAnsi="Times New Roman" w:cs="Times New Roman"/>
          <w:sz w:val="24"/>
          <w:szCs w:val="24"/>
        </w:rPr>
        <w:t xml:space="preserve">. Cultural differences in various countries block most foreign investors from marketing due to language barriers and local belief systems. Investors must seek to understand and deal with the social-cultural issues in the marketing paradigm. The company must stay aware of the environmental problems and develop a ready strategy to respond to such instances and other concerns including working conditions, global climate change. </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 xml:space="preserve">Demographic trends present in a nation also need to get observed to help marketers of the foreign brand to focus on features that target the highest population variant in the international market. Attracting the attention of the higher percentage of consumers in a market ensures natural brand awareness and hence market entry. Other external factors to consider when investing in a foreign exchange include the exciting competitors, the state of the economy, and the levels of technological advancements present.    </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Foreign markets present various modes via which businesses can enter into the supply chain. The techniques present both direct and indirect production and export in the foreign nation. Connexia also faces the dilemma of choosing the mode best fit for its operations in the United States of America. Considering the opportunities and threats tabled by each style will enable the firm to make an informed decision</w:t>
      </w:r>
      <w:r>
        <w:rPr>
          <w:rFonts w:ascii="Times New Roman" w:hAnsi="Times New Roman" w:cs="Times New Roman"/>
          <w:sz w:val="24"/>
          <w:szCs w:val="24"/>
        </w:rPr>
        <w:t xml:space="preserve"> (Kabene, 2010)</w:t>
      </w:r>
      <w:r w:rsidRPr="008F4324">
        <w:rPr>
          <w:rFonts w:ascii="Times New Roman" w:hAnsi="Times New Roman" w:cs="Times New Roman"/>
          <w:sz w:val="24"/>
          <w:szCs w:val="24"/>
        </w:rPr>
        <w:t>.</w:t>
      </w:r>
      <w:r>
        <w:rPr>
          <w:rFonts w:ascii="Times New Roman" w:hAnsi="Times New Roman" w:cs="Times New Roman"/>
          <w:sz w:val="24"/>
          <w:szCs w:val="24"/>
        </w:rPr>
        <w:t xml:space="preserve"> </w:t>
      </w:r>
      <w:r w:rsidRPr="008F4324">
        <w:rPr>
          <w:rFonts w:ascii="Times New Roman" w:hAnsi="Times New Roman" w:cs="Times New Roman"/>
          <w:sz w:val="24"/>
          <w:szCs w:val="24"/>
        </w:rPr>
        <w:t>The foreign market entry methods include reporting, licensing and franchising, acquisition, green-field venture and partnering and strategic alliance.  Exporting remains the most traditional and lucrative method of entry into foreign markets. The process defines the act of marketing and selling produced goods from mother country into a foreign nation.</w:t>
      </w:r>
    </w:p>
    <w:p w:rsidR="008F4324" w:rsidRP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 xml:space="preserve">The opportunity offers fast market entry at low cost and risks and several cons to counter. The major challenge includes legal boundaries, international competition, less control and </w:t>
      </w:r>
      <w:r w:rsidRPr="008F4324">
        <w:rPr>
          <w:rFonts w:ascii="Times New Roman" w:hAnsi="Times New Roman" w:cs="Times New Roman"/>
          <w:sz w:val="24"/>
          <w:szCs w:val="24"/>
        </w:rPr>
        <w:lastRenderedPageBreak/>
        <w:t xml:space="preserve">cultural issues. Licensing refers to the process of a firm in a nation agreeing to share their business permit with a foreign </w:t>
      </w:r>
      <w:r w:rsidR="004B480C" w:rsidRPr="008F4324">
        <w:rPr>
          <w:rFonts w:ascii="Times New Roman" w:hAnsi="Times New Roman" w:cs="Times New Roman"/>
          <w:sz w:val="24"/>
          <w:szCs w:val="24"/>
        </w:rPr>
        <w:t>organization</w:t>
      </w:r>
      <w:r w:rsidRPr="008F4324">
        <w:rPr>
          <w:rFonts w:ascii="Times New Roman" w:hAnsi="Times New Roman" w:cs="Times New Roman"/>
          <w:sz w:val="24"/>
          <w:szCs w:val="24"/>
        </w:rPr>
        <w:t xml:space="preserve"> hence allowing them to process, manufacture, and develop trademarks and skills provided by the licensor. The process still offers low risks, costs and fast entry into the foreign nation. The process, however, limits the companies open actions due to licensee becoming a competitor, lower control, legal issues and environmental factors.  Acquisition offers the advantage of a well-known and established operations and fast entry. However, it demands integration with the home office and hence presents high-cost issues. The Greenfield venture requires the foreign company to develop a whole subsidiary, therefore, opening opportunity in the international local markets, offers maximum control and lesser competition </w:t>
      </w:r>
      <w:r>
        <w:rPr>
          <w:rFonts w:ascii="Times New Roman" w:hAnsi="Times New Roman" w:cs="Times New Roman"/>
          <w:sz w:val="24"/>
          <w:szCs w:val="24"/>
        </w:rPr>
        <w:t>(Kabene, 2010)</w:t>
      </w:r>
      <w:r w:rsidRPr="008F4324">
        <w:rPr>
          <w:rFonts w:ascii="Times New Roman" w:hAnsi="Times New Roman" w:cs="Times New Roman"/>
          <w:sz w:val="24"/>
          <w:szCs w:val="24"/>
        </w:rPr>
        <w:t xml:space="preserve">. The process demands high risks, costs of installation and slow entry due to the lengthy setup procedures. Partnering and strategic alliances offer reduced risks, shared operation costs and entry into the market via a known local brand. The mode thus presents a high value of franchising, licensing, exporting and faces integration issues due to varied corporate and local cultures. </w:t>
      </w:r>
    </w:p>
    <w:p w:rsidR="008F4324" w:rsidRDefault="008F4324" w:rsidP="00DD2B1E">
      <w:pPr>
        <w:spacing w:after="0" w:line="480" w:lineRule="auto"/>
        <w:ind w:firstLine="720"/>
        <w:jc w:val="both"/>
        <w:rPr>
          <w:rFonts w:ascii="Times New Roman" w:hAnsi="Times New Roman" w:cs="Times New Roman"/>
          <w:sz w:val="24"/>
          <w:szCs w:val="24"/>
        </w:rPr>
      </w:pPr>
      <w:r w:rsidRPr="008F4324">
        <w:rPr>
          <w:rFonts w:ascii="Times New Roman" w:hAnsi="Times New Roman" w:cs="Times New Roman"/>
          <w:sz w:val="24"/>
          <w:szCs w:val="24"/>
        </w:rPr>
        <w:t xml:space="preserve">In summation, the RTA from Connexia’s remains an excellent healthcare leap that has matured locally and can venture into foreign markets. The readiest markets include the US states due to the rampant paper-based systems highlighted in most areas in the country. The market, however, presents threats due to its large size and inconsistent competition in the field. The opportunity also demands that Connexia develops the best strategy of entering the US market without suffering loss. Although the brand remains unknown, Connexia must take time to learn the local US markets and analyze its competitors carefully. In the meantime, the rampant market in the United States remains immature for the RTA but provides an excellent opportunity for </w:t>
      </w:r>
      <w:r w:rsidRPr="008F4324">
        <w:rPr>
          <w:rFonts w:ascii="Times New Roman" w:hAnsi="Times New Roman" w:cs="Times New Roman"/>
          <w:sz w:val="24"/>
          <w:szCs w:val="24"/>
        </w:rPr>
        <w:lastRenderedPageBreak/>
        <w:t xml:space="preserve">Connexia. The firm should begin by providing the data entry systems and efficient verification processes and later upgrade to RTA. </w:t>
      </w:r>
    </w:p>
    <w:p w:rsidR="004B480C" w:rsidRDefault="004B480C" w:rsidP="00DD2B1E">
      <w:pPr>
        <w:spacing w:after="0" w:line="480" w:lineRule="auto"/>
        <w:rPr>
          <w:rFonts w:ascii="Times New Roman" w:hAnsi="Times New Roman" w:cs="Times New Roman"/>
          <w:sz w:val="24"/>
          <w:szCs w:val="24"/>
        </w:rPr>
      </w:pPr>
    </w:p>
    <w:p w:rsidR="00804C4F" w:rsidRDefault="00804C4F" w:rsidP="00DD2B1E">
      <w:pPr>
        <w:spacing w:after="0" w:line="480" w:lineRule="auto"/>
        <w:rPr>
          <w:rFonts w:ascii="Times New Roman" w:hAnsi="Times New Roman" w:cs="Times New Roman"/>
          <w:sz w:val="24"/>
          <w:szCs w:val="24"/>
        </w:rPr>
      </w:pPr>
    </w:p>
    <w:p w:rsidR="00DD2B1E" w:rsidRDefault="00DD2B1E">
      <w:pPr>
        <w:rPr>
          <w:rFonts w:ascii="Times New Roman" w:hAnsi="Times New Roman" w:cs="Times New Roman"/>
          <w:sz w:val="24"/>
          <w:szCs w:val="24"/>
        </w:rPr>
      </w:pPr>
      <w:r>
        <w:rPr>
          <w:rFonts w:ascii="Times New Roman" w:hAnsi="Times New Roman" w:cs="Times New Roman"/>
          <w:sz w:val="24"/>
          <w:szCs w:val="24"/>
        </w:rPr>
        <w:br w:type="page"/>
      </w:r>
    </w:p>
    <w:p w:rsidR="00F85452" w:rsidRDefault="00B30ABB" w:rsidP="00DD2B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4324" w:rsidRDefault="00916B64" w:rsidP="00DD2B1E">
      <w:pPr>
        <w:spacing w:after="0" w:line="480" w:lineRule="auto"/>
        <w:ind w:left="720" w:hanging="720"/>
        <w:rPr>
          <w:rFonts w:ascii="Times New Roman" w:hAnsi="Times New Roman" w:cs="Times New Roman"/>
          <w:sz w:val="24"/>
          <w:szCs w:val="24"/>
        </w:rPr>
      </w:pPr>
      <w:r w:rsidRPr="00B30ABB">
        <w:rPr>
          <w:rFonts w:ascii="Times New Roman" w:hAnsi="Times New Roman" w:cs="Times New Roman"/>
          <w:sz w:val="24"/>
          <w:szCs w:val="24"/>
        </w:rPr>
        <w:t>Barrett</w:t>
      </w:r>
      <w:r>
        <w:rPr>
          <w:rFonts w:ascii="Times New Roman" w:hAnsi="Times New Roman" w:cs="Times New Roman"/>
          <w:sz w:val="24"/>
          <w:szCs w:val="24"/>
        </w:rPr>
        <w:t xml:space="preserve">, K., </w:t>
      </w:r>
      <w:r w:rsidRPr="00B30ABB">
        <w:rPr>
          <w:rFonts w:ascii="Times New Roman" w:hAnsi="Times New Roman" w:cs="Times New Roman"/>
          <w:sz w:val="24"/>
          <w:szCs w:val="24"/>
        </w:rPr>
        <w:t xml:space="preserve">Mohanrangan, </w:t>
      </w:r>
      <w:r>
        <w:rPr>
          <w:rFonts w:ascii="Times New Roman" w:hAnsi="Times New Roman" w:cs="Times New Roman"/>
          <w:sz w:val="24"/>
          <w:szCs w:val="24"/>
        </w:rPr>
        <w:t xml:space="preserve"> A.,</w:t>
      </w:r>
      <w:r w:rsidRPr="00B30ABB">
        <w:rPr>
          <w:rFonts w:ascii="Times New Roman" w:hAnsi="Times New Roman" w:cs="Times New Roman"/>
          <w:sz w:val="24"/>
          <w:szCs w:val="24"/>
        </w:rPr>
        <w:t>Tanaka,</w:t>
      </w:r>
      <w:r>
        <w:rPr>
          <w:rFonts w:ascii="Times New Roman" w:hAnsi="Times New Roman" w:cs="Times New Roman"/>
          <w:sz w:val="24"/>
          <w:szCs w:val="24"/>
        </w:rPr>
        <w:t xml:space="preserve"> T.,&amp; </w:t>
      </w:r>
      <w:r w:rsidRPr="00B30ABB">
        <w:rPr>
          <w:rFonts w:ascii="Times New Roman" w:hAnsi="Times New Roman" w:cs="Times New Roman"/>
          <w:sz w:val="24"/>
          <w:szCs w:val="24"/>
        </w:rPr>
        <w:t xml:space="preserve"> Zhao</w:t>
      </w:r>
      <w:r>
        <w:rPr>
          <w:rFonts w:ascii="Times New Roman" w:hAnsi="Times New Roman" w:cs="Times New Roman"/>
          <w:sz w:val="24"/>
          <w:szCs w:val="24"/>
        </w:rPr>
        <w:t xml:space="preserve">, Y. (2010). </w:t>
      </w:r>
      <w:r w:rsidR="00B30ABB" w:rsidRPr="00B30ABB">
        <w:rPr>
          <w:rFonts w:ascii="Times New Roman" w:hAnsi="Times New Roman" w:cs="Times New Roman"/>
          <w:sz w:val="24"/>
          <w:szCs w:val="24"/>
        </w:rPr>
        <w:t>Co</w:t>
      </w:r>
      <w:r>
        <w:rPr>
          <w:rFonts w:ascii="Times New Roman" w:hAnsi="Times New Roman" w:cs="Times New Roman"/>
          <w:sz w:val="24"/>
          <w:szCs w:val="24"/>
        </w:rPr>
        <w:t>n</w:t>
      </w:r>
      <w:r w:rsidR="00B30ABB" w:rsidRPr="00B30ABB">
        <w:rPr>
          <w:rFonts w:ascii="Times New Roman" w:hAnsi="Times New Roman" w:cs="Times New Roman"/>
          <w:sz w:val="24"/>
          <w:szCs w:val="24"/>
        </w:rPr>
        <w:t>nexia: Ente</w:t>
      </w:r>
      <w:r>
        <w:rPr>
          <w:rFonts w:ascii="Times New Roman" w:hAnsi="Times New Roman" w:cs="Times New Roman"/>
          <w:sz w:val="24"/>
          <w:szCs w:val="24"/>
        </w:rPr>
        <w:t xml:space="preserve">ring the U.S. Market. </w:t>
      </w:r>
    </w:p>
    <w:p w:rsidR="00B30ABB" w:rsidRDefault="008F4324" w:rsidP="00DD2B1E">
      <w:pPr>
        <w:spacing w:after="0" w:line="480" w:lineRule="auto"/>
        <w:ind w:left="720" w:hanging="720"/>
        <w:rPr>
          <w:rFonts w:ascii="Times New Roman" w:hAnsi="Times New Roman" w:cs="Times New Roman"/>
          <w:sz w:val="24"/>
          <w:szCs w:val="24"/>
        </w:rPr>
      </w:pPr>
      <w:r w:rsidRPr="008F4324">
        <w:rPr>
          <w:rFonts w:ascii="Times New Roman" w:hAnsi="Times New Roman" w:cs="Times New Roman"/>
          <w:sz w:val="24"/>
          <w:szCs w:val="24"/>
        </w:rPr>
        <w:t xml:space="preserve">Kabene, S. M. (2010). </w:t>
      </w:r>
      <w:r w:rsidRPr="008F4324">
        <w:rPr>
          <w:rFonts w:ascii="Times New Roman" w:hAnsi="Times New Roman" w:cs="Times New Roman"/>
          <w:i/>
          <w:iCs/>
          <w:sz w:val="24"/>
          <w:szCs w:val="24"/>
        </w:rPr>
        <w:t>Healthcare and the effect of technology: Developments, challenges and advancements</w:t>
      </w:r>
      <w:r w:rsidRPr="008F4324">
        <w:rPr>
          <w:rFonts w:ascii="Times New Roman" w:hAnsi="Times New Roman" w:cs="Times New Roman"/>
          <w:sz w:val="24"/>
          <w:szCs w:val="24"/>
        </w:rPr>
        <w:t xml:space="preserve">. Hershey, PA: Medical Information Science Reference. </w:t>
      </w:r>
      <w:r w:rsidR="00916B64">
        <w:rPr>
          <w:rFonts w:ascii="Times New Roman" w:hAnsi="Times New Roman" w:cs="Times New Roman"/>
          <w:sz w:val="24"/>
          <w:szCs w:val="24"/>
        </w:rPr>
        <w:t xml:space="preserve"> </w:t>
      </w:r>
    </w:p>
    <w:p w:rsidR="008F4324" w:rsidRPr="00B30ABB" w:rsidRDefault="008F4324" w:rsidP="00DD2B1E">
      <w:pPr>
        <w:spacing w:after="0" w:line="480" w:lineRule="auto"/>
        <w:ind w:left="720" w:hanging="720"/>
        <w:rPr>
          <w:rFonts w:ascii="Times New Roman" w:hAnsi="Times New Roman" w:cs="Times New Roman"/>
          <w:sz w:val="24"/>
          <w:szCs w:val="24"/>
        </w:rPr>
      </w:pPr>
      <w:r w:rsidRPr="008F4324">
        <w:rPr>
          <w:rFonts w:ascii="Times New Roman" w:hAnsi="Times New Roman" w:cs="Times New Roman"/>
          <w:sz w:val="24"/>
          <w:szCs w:val="24"/>
        </w:rPr>
        <w:t xml:space="preserve">National Research Council (U.S.). (2011). </w:t>
      </w:r>
      <w:r w:rsidRPr="008F4324">
        <w:rPr>
          <w:rFonts w:ascii="Times New Roman" w:hAnsi="Times New Roman" w:cs="Times New Roman"/>
          <w:i/>
          <w:iCs/>
          <w:sz w:val="24"/>
          <w:szCs w:val="24"/>
        </w:rPr>
        <w:t>Health care comes home: The human factors</w:t>
      </w:r>
      <w:r w:rsidRPr="008F4324">
        <w:rPr>
          <w:rFonts w:ascii="Times New Roman" w:hAnsi="Times New Roman" w:cs="Times New Roman"/>
          <w:sz w:val="24"/>
          <w:szCs w:val="24"/>
        </w:rPr>
        <w:t>. Washington, D.C: National Academies Press.</w:t>
      </w:r>
    </w:p>
    <w:sectPr w:rsidR="008F4324" w:rsidRPr="00B30ABB" w:rsidSect="00A435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9EF" w:rsidRDefault="001319EF" w:rsidP="00A43550">
      <w:pPr>
        <w:spacing w:after="0" w:line="240" w:lineRule="auto"/>
      </w:pPr>
      <w:r>
        <w:separator/>
      </w:r>
    </w:p>
  </w:endnote>
  <w:endnote w:type="continuationSeparator" w:id="0">
    <w:p w:rsidR="001319EF" w:rsidRDefault="001319EF"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9EF" w:rsidRDefault="001319EF" w:rsidP="00A43550">
      <w:pPr>
        <w:spacing w:after="0" w:line="240" w:lineRule="auto"/>
      </w:pPr>
      <w:r>
        <w:separator/>
      </w:r>
    </w:p>
  </w:footnote>
  <w:footnote w:type="continuationSeparator" w:id="0">
    <w:p w:rsidR="001319EF" w:rsidRDefault="001319EF"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ABB" w:rsidRPr="00192E2A" w:rsidRDefault="00B30ABB" w:rsidP="00192E2A">
    <w:pPr>
      <w:spacing w:line="480" w:lineRule="auto"/>
      <w:rPr>
        <w:rFonts w:ascii="Times New Roman" w:hAnsi="Times New Roman" w:cs="Times New Roman"/>
        <w:sz w:val="24"/>
        <w:szCs w:val="24"/>
      </w:rPr>
    </w:pPr>
    <w:r>
      <w:rPr>
        <w:rFonts w:ascii="Times New Roman" w:hAnsi="Times New Roman" w:cs="Times New Roman"/>
        <w:sz w:val="24"/>
        <w:szCs w:val="24"/>
      </w:rPr>
      <w:t xml:space="preserve">FOREIGN MARKETS ENTRY                                                                                                      </w:t>
    </w:r>
    <w:sdt>
      <w:sdtPr>
        <w:id w:val="474824"/>
        <w:docPartObj>
          <w:docPartGallery w:val="Page Numbers (Top of Page)"/>
          <w:docPartUnique/>
        </w:docPartObj>
      </w:sdtPr>
      <w:sdtEndPr/>
      <w:sdtContent>
        <w:r w:rsidR="001319EF">
          <w:fldChar w:fldCharType="begin"/>
        </w:r>
        <w:r w:rsidR="001319EF">
          <w:instrText xml:space="preserve"> PAGE   \* MERGEFORMAT </w:instrText>
        </w:r>
        <w:r w:rsidR="001319EF">
          <w:fldChar w:fldCharType="separate"/>
        </w:r>
        <w:r w:rsidR="00C734CC">
          <w:rPr>
            <w:noProof/>
          </w:rPr>
          <w:t>7</w:t>
        </w:r>
        <w:r w:rsidR="001319EF">
          <w:rPr>
            <w:noProof/>
          </w:rPr>
          <w:fldChar w:fldCharType="end"/>
        </w:r>
      </w:sdtContent>
    </w:sdt>
  </w:p>
  <w:p w:rsidR="00B30ABB" w:rsidRDefault="00B30A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ABB" w:rsidRPr="00A43550" w:rsidRDefault="00B30ABB" w:rsidP="007647A3">
    <w:pPr>
      <w:jc w:val="center"/>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FOREIGN MARKETS ENTRY                                                                            </w:t>
    </w:r>
    <w:sdt>
      <w:sdtPr>
        <w:rPr>
          <w:rFonts w:ascii="Times New Roman" w:hAnsi="Times New Roman" w:cs="Times New Roman"/>
          <w:sz w:val="24"/>
          <w:szCs w:val="24"/>
        </w:rPr>
        <w:id w:val="474641"/>
        <w:docPartObj>
          <w:docPartGallery w:val="Page Numbers (Top of Page)"/>
          <w:docPartUnique/>
        </w:docPartObj>
      </w:sdtPr>
      <w:sdtEndPr/>
      <w:sdtContent>
        <w:r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Pr="00A43550">
          <w:rPr>
            <w:rFonts w:ascii="Times New Roman" w:hAnsi="Times New Roman" w:cs="Times New Roman"/>
            <w:sz w:val="24"/>
            <w:szCs w:val="24"/>
          </w:rPr>
          <w:fldChar w:fldCharType="separate"/>
        </w:r>
        <w:r w:rsidR="00C734CC">
          <w:rPr>
            <w:rFonts w:ascii="Times New Roman" w:hAnsi="Times New Roman" w:cs="Times New Roman"/>
            <w:noProof/>
            <w:sz w:val="24"/>
            <w:szCs w:val="24"/>
          </w:rPr>
          <w:t>1</w:t>
        </w:r>
        <w:r w:rsidRPr="00A43550">
          <w:rPr>
            <w:rFonts w:ascii="Times New Roman" w:hAnsi="Times New Roman" w:cs="Times New Roman"/>
            <w:sz w:val="24"/>
            <w:szCs w:val="24"/>
          </w:rPr>
          <w:fldChar w:fldCharType="end"/>
        </w:r>
      </w:sdtContent>
    </w:sdt>
  </w:p>
  <w:p w:rsidR="00B30ABB" w:rsidRPr="00A43550" w:rsidRDefault="00B30A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46054"/>
    <w:rsid w:val="000460A4"/>
    <w:rsid w:val="00053716"/>
    <w:rsid w:val="00062C07"/>
    <w:rsid w:val="00083EB6"/>
    <w:rsid w:val="001064F3"/>
    <w:rsid w:val="00106BE0"/>
    <w:rsid w:val="0011363E"/>
    <w:rsid w:val="001319EF"/>
    <w:rsid w:val="00140BBC"/>
    <w:rsid w:val="001921A2"/>
    <w:rsid w:val="00192E2A"/>
    <w:rsid w:val="001B2E6F"/>
    <w:rsid w:val="001D3D66"/>
    <w:rsid w:val="002018C4"/>
    <w:rsid w:val="002113AE"/>
    <w:rsid w:val="0021231A"/>
    <w:rsid w:val="002240C1"/>
    <w:rsid w:val="00235B02"/>
    <w:rsid w:val="00255BD6"/>
    <w:rsid w:val="002658C4"/>
    <w:rsid w:val="00285CE4"/>
    <w:rsid w:val="0028799D"/>
    <w:rsid w:val="002A16E2"/>
    <w:rsid w:val="002D5EE0"/>
    <w:rsid w:val="00330443"/>
    <w:rsid w:val="00334C89"/>
    <w:rsid w:val="00344D98"/>
    <w:rsid w:val="00355C08"/>
    <w:rsid w:val="00391135"/>
    <w:rsid w:val="003A0C0C"/>
    <w:rsid w:val="004016E7"/>
    <w:rsid w:val="004173FB"/>
    <w:rsid w:val="00447797"/>
    <w:rsid w:val="004653D5"/>
    <w:rsid w:val="00475E1C"/>
    <w:rsid w:val="004B480C"/>
    <w:rsid w:val="004D25D4"/>
    <w:rsid w:val="004D4BE9"/>
    <w:rsid w:val="004E6067"/>
    <w:rsid w:val="0052280D"/>
    <w:rsid w:val="0056204B"/>
    <w:rsid w:val="00580322"/>
    <w:rsid w:val="00592DD8"/>
    <w:rsid w:val="005946B4"/>
    <w:rsid w:val="00596D8D"/>
    <w:rsid w:val="00597D7C"/>
    <w:rsid w:val="005A2352"/>
    <w:rsid w:val="005E4972"/>
    <w:rsid w:val="0061026C"/>
    <w:rsid w:val="006164B5"/>
    <w:rsid w:val="006171AD"/>
    <w:rsid w:val="006A53E9"/>
    <w:rsid w:val="006C1714"/>
    <w:rsid w:val="006C3334"/>
    <w:rsid w:val="006C626A"/>
    <w:rsid w:val="006F7D52"/>
    <w:rsid w:val="00713D67"/>
    <w:rsid w:val="00715438"/>
    <w:rsid w:val="00722162"/>
    <w:rsid w:val="0072263B"/>
    <w:rsid w:val="00733769"/>
    <w:rsid w:val="00760D52"/>
    <w:rsid w:val="007647A3"/>
    <w:rsid w:val="007834FF"/>
    <w:rsid w:val="007B09AF"/>
    <w:rsid w:val="00804C4F"/>
    <w:rsid w:val="0081469D"/>
    <w:rsid w:val="00833651"/>
    <w:rsid w:val="008366DC"/>
    <w:rsid w:val="00871D2F"/>
    <w:rsid w:val="00891F25"/>
    <w:rsid w:val="008C0E68"/>
    <w:rsid w:val="008D228E"/>
    <w:rsid w:val="008E1B16"/>
    <w:rsid w:val="008F4324"/>
    <w:rsid w:val="00916B64"/>
    <w:rsid w:val="0091740F"/>
    <w:rsid w:val="00965226"/>
    <w:rsid w:val="009834DA"/>
    <w:rsid w:val="0098441E"/>
    <w:rsid w:val="009A27F2"/>
    <w:rsid w:val="009B0439"/>
    <w:rsid w:val="009C5696"/>
    <w:rsid w:val="00A003A9"/>
    <w:rsid w:val="00A06692"/>
    <w:rsid w:val="00A373FC"/>
    <w:rsid w:val="00A43550"/>
    <w:rsid w:val="00A473D2"/>
    <w:rsid w:val="00A610F8"/>
    <w:rsid w:val="00A64E8F"/>
    <w:rsid w:val="00A70144"/>
    <w:rsid w:val="00A7546F"/>
    <w:rsid w:val="00A82001"/>
    <w:rsid w:val="00AA0EEA"/>
    <w:rsid w:val="00AB78D4"/>
    <w:rsid w:val="00AD700A"/>
    <w:rsid w:val="00AE290B"/>
    <w:rsid w:val="00AE7603"/>
    <w:rsid w:val="00B10E04"/>
    <w:rsid w:val="00B16A70"/>
    <w:rsid w:val="00B30ABB"/>
    <w:rsid w:val="00B80BBF"/>
    <w:rsid w:val="00B93F6F"/>
    <w:rsid w:val="00BA378B"/>
    <w:rsid w:val="00BC500C"/>
    <w:rsid w:val="00BC752E"/>
    <w:rsid w:val="00BF1824"/>
    <w:rsid w:val="00C71CCE"/>
    <w:rsid w:val="00C734CC"/>
    <w:rsid w:val="00C95675"/>
    <w:rsid w:val="00CA7336"/>
    <w:rsid w:val="00CB4083"/>
    <w:rsid w:val="00CE2CA5"/>
    <w:rsid w:val="00D00946"/>
    <w:rsid w:val="00D324E6"/>
    <w:rsid w:val="00D362C6"/>
    <w:rsid w:val="00D74C39"/>
    <w:rsid w:val="00D77F5C"/>
    <w:rsid w:val="00DB4A6D"/>
    <w:rsid w:val="00DD2B1E"/>
    <w:rsid w:val="00DD481B"/>
    <w:rsid w:val="00DE6F3E"/>
    <w:rsid w:val="00E330F6"/>
    <w:rsid w:val="00E4774A"/>
    <w:rsid w:val="00E545EE"/>
    <w:rsid w:val="00E61D8F"/>
    <w:rsid w:val="00E84488"/>
    <w:rsid w:val="00EA1942"/>
    <w:rsid w:val="00ED5A72"/>
    <w:rsid w:val="00ED7182"/>
    <w:rsid w:val="00EE055B"/>
    <w:rsid w:val="00F53E91"/>
    <w:rsid w:val="00F61632"/>
    <w:rsid w:val="00F64828"/>
    <w:rsid w:val="00F8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1512"/>
  <w15:docId w15:val="{E1616439-12B7-4EF5-BFAC-4067609E2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 w:type="character" w:styleId="Hyperlink">
    <w:name w:val="Hyperlink"/>
    <w:basedOn w:val="DefaultParagraphFont"/>
    <w:uiPriority w:val="99"/>
    <w:semiHidden/>
    <w:unhideWhenUsed/>
    <w:rsid w:val="00F854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9E513-604E-41DD-8566-C12F25355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2019-04-14T02:27:00Z</dcterms:created>
  <dcterms:modified xsi:type="dcterms:W3CDTF">2019-04-14T02:27:00Z</dcterms:modified>
</cp:coreProperties>
</file>